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6BE" w:rsidRPr="005D12B3" w:rsidRDefault="00D016BE" w:rsidP="005D12B3">
      <w:pPr>
        <w:pStyle w:val="ae"/>
        <w:spacing w:line="240" w:lineRule="exact"/>
        <w:ind w:firstLineChars="0" w:firstLine="0"/>
        <w:rPr>
          <w:rFonts w:ascii="微软雅黑" w:eastAsia="微软雅黑" w:hAnsi="微软雅黑"/>
          <w:sz w:val="22"/>
          <w:szCs w:val="22"/>
        </w:rPr>
      </w:pPr>
    </w:p>
    <w:p w:rsidR="004653BC" w:rsidRPr="005D12B3" w:rsidRDefault="00BA4F68" w:rsidP="005D12B3">
      <w:pPr>
        <w:pStyle w:val="ab"/>
        <w:spacing w:line="600" w:lineRule="exact"/>
        <w:rPr>
          <w:rFonts w:ascii="微软雅黑" w:eastAsia="微软雅黑" w:hAnsi="微软雅黑"/>
          <w:b/>
          <w:bCs/>
          <w:color w:val="7030A0"/>
          <w:sz w:val="40"/>
          <w:szCs w:val="40"/>
        </w:rPr>
      </w:pPr>
      <w:r w:rsidRPr="005D12B3">
        <w:rPr>
          <w:rFonts w:ascii="微软雅黑" w:eastAsia="微软雅黑" w:hAnsi="微软雅黑" w:hint="eastAsia"/>
          <w:b/>
          <w:bCs/>
          <w:color w:val="7030A0"/>
          <w:sz w:val="40"/>
          <w:szCs w:val="40"/>
        </w:rPr>
        <w:t>最高人民法院</w:t>
      </w:r>
    </w:p>
    <w:p w:rsidR="004653BC" w:rsidRPr="005D12B3" w:rsidRDefault="00BA4F68" w:rsidP="005D12B3">
      <w:pPr>
        <w:pStyle w:val="ab"/>
        <w:spacing w:line="600" w:lineRule="exact"/>
        <w:rPr>
          <w:rFonts w:ascii="微软雅黑" w:eastAsia="微软雅黑" w:hAnsi="微软雅黑"/>
          <w:b/>
          <w:bCs/>
          <w:color w:val="7030A0"/>
          <w:sz w:val="40"/>
          <w:szCs w:val="40"/>
        </w:rPr>
      </w:pPr>
      <w:r w:rsidRPr="005D12B3">
        <w:rPr>
          <w:rFonts w:ascii="微软雅黑" w:eastAsia="微软雅黑" w:hAnsi="微软雅黑" w:hint="eastAsia"/>
          <w:b/>
          <w:bCs/>
          <w:color w:val="7030A0"/>
          <w:sz w:val="40"/>
          <w:szCs w:val="40"/>
        </w:rPr>
        <w:t>关于内地与香港特别行政区法院</w:t>
      </w:r>
    </w:p>
    <w:p w:rsidR="004653BC" w:rsidRPr="005D12B3" w:rsidRDefault="00BA4F68" w:rsidP="005D12B3">
      <w:pPr>
        <w:pStyle w:val="ab"/>
        <w:spacing w:line="600" w:lineRule="exact"/>
        <w:rPr>
          <w:rFonts w:ascii="微软雅黑" w:eastAsia="微软雅黑" w:hAnsi="微软雅黑"/>
          <w:b/>
          <w:bCs/>
          <w:color w:val="7030A0"/>
          <w:sz w:val="40"/>
          <w:szCs w:val="40"/>
        </w:rPr>
      </w:pPr>
      <w:r w:rsidRPr="005D12B3">
        <w:rPr>
          <w:rFonts w:ascii="微软雅黑" w:eastAsia="微软雅黑" w:hAnsi="微软雅黑" w:hint="eastAsia"/>
          <w:b/>
          <w:bCs/>
          <w:color w:val="7030A0"/>
          <w:sz w:val="40"/>
          <w:szCs w:val="40"/>
        </w:rPr>
        <w:t>相互认可和执行婚姻家庭民事案件判决的安排</w:t>
      </w:r>
      <w:bookmarkStart w:id="0" w:name="_GoBack"/>
      <w:bookmarkEnd w:id="0"/>
    </w:p>
    <w:p w:rsidR="00482EE2" w:rsidRPr="005D12B3" w:rsidRDefault="00482EE2" w:rsidP="005D12B3">
      <w:pPr>
        <w:pStyle w:val="ae"/>
        <w:spacing w:line="240" w:lineRule="exact"/>
        <w:ind w:firstLine="440"/>
        <w:rPr>
          <w:rFonts w:ascii="微软雅黑" w:eastAsia="微软雅黑" w:hAnsi="微软雅黑"/>
          <w:sz w:val="22"/>
          <w:szCs w:val="22"/>
        </w:rPr>
      </w:pPr>
    </w:p>
    <w:p w:rsidR="00482EE2" w:rsidRPr="005D12B3" w:rsidRDefault="00482EE2" w:rsidP="005D12B3">
      <w:pPr>
        <w:pStyle w:val="ac"/>
        <w:spacing w:line="240" w:lineRule="exact"/>
        <w:rPr>
          <w:rFonts w:ascii="微软雅黑" w:eastAsia="微软雅黑" w:hAnsi="微软雅黑"/>
          <w:sz w:val="22"/>
          <w:szCs w:val="22"/>
        </w:rPr>
      </w:pPr>
      <w:r w:rsidRPr="005D12B3">
        <w:rPr>
          <w:rFonts w:ascii="微软雅黑" w:eastAsia="微软雅黑" w:hAnsi="微软雅黑" w:hint="eastAsia"/>
          <w:sz w:val="22"/>
          <w:szCs w:val="22"/>
        </w:rPr>
        <w:t>法释〔2022〕4号</w:t>
      </w:r>
    </w:p>
    <w:p w:rsidR="00482EE2" w:rsidRPr="005D12B3" w:rsidRDefault="00482EE2" w:rsidP="005D12B3">
      <w:pPr>
        <w:pStyle w:val="ae"/>
        <w:spacing w:line="240" w:lineRule="exact"/>
        <w:ind w:firstLine="440"/>
        <w:rPr>
          <w:rFonts w:ascii="微软雅黑" w:eastAsia="微软雅黑" w:hAnsi="微软雅黑"/>
          <w:sz w:val="22"/>
          <w:szCs w:val="22"/>
        </w:rPr>
      </w:pPr>
    </w:p>
    <w:p w:rsidR="00482EE2" w:rsidRPr="005D12B3" w:rsidRDefault="00BA4F68" w:rsidP="005D12B3">
      <w:pPr>
        <w:pStyle w:val="ad"/>
        <w:spacing w:line="240" w:lineRule="exact"/>
        <w:ind w:left="630" w:right="630"/>
        <w:jc w:val="center"/>
        <w:rPr>
          <w:rFonts w:ascii="微软雅黑" w:eastAsia="微软雅黑" w:hAnsi="微软雅黑"/>
          <w:sz w:val="21"/>
          <w:szCs w:val="21"/>
        </w:rPr>
      </w:pPr>
      <w:r w:rsidRPr="005D12B3">
        <w:rPr>
          <w:rFonts w:ascii="微软雅黑" w:eastAsia="微软雅黑" w:hAnsi="微软雅黑" w:hint="eastAsia"/>
          <w:sz w:val="21"/>
          <w:szCs w:val="21"/>
        </w:rPr>
        <w:t>（2017年5月22日由最高人民法院审判委员会第1718次会议通过，自2022年2月15日起施行。）</w:t>
      </w:r>
    </w:p>
    <w:p w:rsidR="00482EE2" w:rsidRPr="005D12B3" w:rsidRDefault="00482EE2" w:rsidP="005D12B3">
      <w:pPr>
        <w:pStyle w:val="ae"/>
        <w:spacing w:line="340" w:lineRule="exact"/>
        <w:ind w:firstLine="480"/>
        <w:rPr>
          <w:rFonts w:ascii="微软雅黑" w:eastAsia="微软雅黑" w:hAnsi="微软雅黑"/>
          <w:sz w:val="24"/>
          <w:szCs w:val="24"/>
        </w:rPr>
      </w:pPr>
    </w:p>
    <w:p w:rsidR="004653BC" w:rsidRPr="005D12B3" w:rsidRDefault="00BA4F68" w:rsidP="005D12B3">
      <w:pPr>
        <w:pStyle w:val="ae"/>
        <w:spacing w:line="340" w:lineRule="exact"/>
        <w:ind w:firstLine="496"/>
        <w:rPr>
          <w:rFonts w:ascii="微软雅黑" w:eastAsia="微软雅黑" w:hAnsi="微软雅黑"/>
          <w:spacing w:val="4"/>
          <w:sz w:val="24"/>
          <w:szCs w:val="24"/>
        </w:rPr>
      </w:pPr>
      <w:r w:rsidRPr="005D12B3">
        <w:rPr>
          <w:rFonts w:ascii="微软雅黑" w:eastAsia="微软雅黑" w:hAnsi="微软雅黑" w:hint="eastAsia"/>
          <w:spacing w:val="4"/>
          <w:sz w:val="24"/>
          <w:szCs w:val="24"/>
        </w:rPr>
        <w:t>根据《中华人民共和国香港特别行政区基本法》第九十五条的规定，最高人民法院与香港特别行政区政府经协商，现就婚姻家庭民事案件判决的认可和执行问题</w:t>
      </w:r>
      <w:proofErr w:type="gramStart"/>
      <w:r w:rsidRPr="005D12B3">
        <w:rPr>
          <w:rFonts w:ascii="微软雅黑" w:eastAsia="微软雅黑" w:hAnsi="微软雅黑" w:hint="eastAsia"/>
          <w:spacing w:val="4"/>
          <w:sz w:val="24"/>
          <w:szCs w:val="24"/>
        </w:rPr>
        <w:t>作出</w:t>
      </w:r>
      <w:proofErr w:type="gramEnd"/>
      <w:r w:rsidRPr="005D12B3">
        <w:rPr>
          <w:rFonts w:ascii="微软雅黑" w:eastAsia="微软雅黑" w:hAnsi="微软雅黑" w:hint="eastAsia"/>
          <w:spacing w:val="4"/>
          <w:sz w:val="24"/>
          <w:szCs w:val="24"/>
        </w:rPr>
        <w:t>如下安排。</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第一条</w:t>
      </w:r>
      <w:r w:rsidR="004D308D"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当事人向香港特别行政区法院申请认可和执行内地人民法院就婚姻家庭民事案件</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的生效判决，或者向内地人民法院申请认可和执行香港特别行政区法院就婚姻家庭民事案件</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的生效判决的，适用本安排。</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当事人向香港特别行政区法院申请认可内地民政部门所发的离婚证，或者向内地人民法院申请认可依据《婚姻制度改革条例》（香港法例第178章）第V部、第VA部规定解除婚姻的协议书、备忘录的，参照适用本安排。</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第二条</w:t>
      </w:r>
      <w:r w:rsidR="004D308D"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本安排所称生效判决:</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（一）在内地，是指第二审判决，依法不准上诉或者超过法定期限没有上诉的第一审判决，以及依照审判监督程序</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的上述判决；</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（二）在香港特别行政区，是指终审法院、高等法院上诉法庭及原</w:t>
      </w:r>
      <w:proofErr w:type="gramStart"/>
      <w:r w:rsidRPr="005D12B3">
        <w:rPr>
          <w:rFonts w:ascii="微软雅黑" w:eastAsia="微软雅黑" w:hAnsi="微软雅黑" w:hint="eastAsia"/>
          <w:sz w:val="24"/>
          <w:szCs w:val="24"/>
        </w:rPr>
        <w:t>讼</w:t>
      </w:r>
      <w:proofErr w:type="gramEnd"/>
      <w:r w:rsidRPr="005D12B3">
        <w:rPr>
          <w:rFonts w:ascii="微软雅黑" w:eastAsia="微软雅黑" w:hAnsi="微软雅黑" w:hint="eastAsia"/>
          <w:sz w:val="24"/>
          <w:szCs w:val="24"/>
        </w:rPr>
        <w:t>法庭和区域法院</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的已经发生法律效力的判决，包括依据香港法律可以在生效后作出更改的命令。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前款所称判决，在内地包括判决、裁定、调解书，在香港特别行政区包括判决、命令、判令、</w:t>
      </w:r>
      <w:proofErr w:type="gramStart"/>
      <w:r w:rsidRPr="005D12B3">
        <w:rPr>
          <w:rFonts w:ascii="微软雅黑" w:eastAsia="微软雅黑" w:hAnsi="微软雅黑" w:hint="eastAsia"/>
          <w:sz w:val="24"/>
          <w:szCs w:val="24"/>
        </w:rPr>
        <w:t>讼</w:t>
      </w:r>
      <w:proofErr w:type="gramEnd"/>
      <w:r w:rsidRPr="005D12B3">
        <w:rPr>
          <w:rFonts w:ascii="微软雅黑" w:eastAsia="微软雅黑" w:hAnsi="微软雅黑" w:hint="eastAsia"/>
          <w:sz w:val="24"/>
          <w:szCs w:val="24"/>
        </w:rPr>
        <w:t>费评定证明书、定额</w:t>
      </w:r>
      <w:proofErr w:type="gramStart"/>
      <w:r w:rsidRPr="005D12B3">
        <w:rPr>
          <w:rFonts w:ascii="微软雅黑" w:eastAsia="微软雅黑" w:hAnsi="微软雅黑" w:hint="eastAsia"/>
          <w:sz w:val="24"/>
          <w:szCs w:val="24"/>
        </w:rPr>
        <w:t>讼</w:t>
      </w:r>
      <w:proofErr w:type="gramEnd"/>
      <w:r w:rsidRPr="005D12B3">
        <w:rPr>
          <w:rFonts w:ascii="微软雅黑" w:eastAsia="微软雅黑" w:hAnsi="微软雅黑" w:hint="eastAsia"/>
          <w:sz w:val="24"/>
          <w:szCs w:val="24"/>
        </w:rPr>
        <w:t>费证明书，但不包括双方依据其法律承认的其他国家和地区法院</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的判决。</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第三条</w:t>
      </w:r>
      <w:r w:rsidR="004D308D"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本安排所称婚姻家庭民事案件: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（一）在内地是指：</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1.婚内夫妻财产分割纠纷案件；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2.离婚纠纷案件；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3.离婚后财产纠纷案件；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4.婚姻无效纠纷案件；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5.撤销婚姻纠纷案件；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6.夫妻财产约定纠纷案件；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7.同居关系子女抚养纠纷案件；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8.亲子关系确认纠纷案件；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9.抚养纠纷案件；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10.扶养纠纷案件（限于夫妻之间扶养纠纷）；</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11.确认收养关系纠纷案件；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12.监护权纠纷案件（限于未成年子女监护权纠纷）；</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13.探望权纠纷案件；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14.申请人身安全保护令案件。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（二）在香港特别行政区是指：</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1.依据香港法例第179章《婚姻诉讼条例》第III部</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的离婚绝对判令；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2.依据香港法例第179章《婚姻诉讼条例》第IV部</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的婚姻无效绝对判令；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3.依据香港法例第192章《婚姻法律程序与财产条例》</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的在讼案待决期间提供赡养费令；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lastRenderedPageBreak/>
        <w:t>4.依据香港法例第13章《未成年人监护条例》、第16章《分居令及赡养令条例》、第192章《婚姻法律程序与财产条例》第II部、第IIA部</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的赡养令；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5.依据香港法例第13章《未成年人监护条例》、第192章《婚姻法律程序与财产条例》第II部、第IIA部</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的财产转让及出售财产令；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6.依据香港法例第182章《已婚者地位条例》</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的有关财产的命令；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7.依据香港法例第192章《婚姻法律程序与财产条例》在双方在生时</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的修改赡养协议的命令；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8.依据香港法例第290章《领养条例》</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的领养令；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9.依据香港法例第179章《婚姻诉讼条例》、第429章《父母与子女条例》</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的父母身份、婚生地位或者确立婚生地位的宣告；</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10.依据香港法例第13章《未成年人监护条例》、第16章《分居令及赡养令条例》、第192章《婚姻法律程序与财产条例》</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的管养令；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11.就受香港法院监护的未成年子女</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的管养令；</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12.依据香港法例第189章《家庭及同居关系暴力条例》</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的禁制骚扰令、驱逐令、重返</w:t>
      </w:r>
      <w:proofErr w:type="gramStart"/>
      <w:r w:rsidRPr="005D12B3">
        <w:rPr>
          <w:rFonts w:ascii="微软雅黑" w:eastAsia="微软雅黑" w:hAnsi="微软雅黑" w:hint="eastAsia"/>
          <w:sz w:val="24"/>
          <w:szCs w:val="24"/>
        </w:rPr>
        <w:t>令或者</w:t>
      </w:r>
      <w:proofErr w:type="gramEnd"/>
      <w:r w:rsidRPr="005D12B3">
        <w:rPr>
          <w:rFonts w:ascii="微软雅黑" w:eastAsia="微软雅黑" w:hAnsi="微软雅黑" w:hint="eastAsia"/>
          <w:sz w:val="24"/>
          <w:szCs w:val="24"/>
        </w:rPr>
        <w:t>更改、暂停执行就未成年子女的管养令、探视令。</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第四条</w:t>
      </w:r>
      <w:r w:rsidR="004177DF"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申请认可和执行本安排规定的判决：</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（一）在内地向申请人住所地、经常居住地或者被申请人住所地、经常居住地、财产所在地的中级人民法院提出;</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（二）在香港特别行政区向区域法院提出。</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申请人应当向符合前款第一项规定的其中一个人民法院提出申请。向两个以上有管辖权的人民法院提出申请的，由最先立案的人民法院管辖。</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第五条</w:t>
      </w:r>
      <w:r w:rsidR="004177DF"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申请认可和执行本安排第一条第一款规定的判决的，应当提交下列材料：</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（一）申请书；</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（二）经</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生效判决的法院盖章的判决副本；</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（三）</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生效判决的法院出具的证明书，证明该判决属于本安排规定的婚姻家庭民事案件生效判决；</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（四）判决为缺席判决的，应当提交法院已经合法传唤当事人的证明文件，但判决已经对此予以明确说明或者缺席方提出申请的除外；</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（五）经公证的身份证件复印件。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申请认可本安排第一条第二款规定的离婚证或者协议书、备忘录的，应当提交下列材料：</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（一）申请书；</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（二）经公证的离婚证复印件，或者经公证的协议书、备忘录复印件；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（三）经公证的身份证件复印件。</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向内地人民法院提交的文件没有中文文本的，应当提交准确的中文译本。</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第六条</w:t>
      </w:r>
      <w:r w:rsidR="004177DF"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申请书应当载明下列事项：</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（一）当事人的基本情况，包括姓名、住所、身份证件信息、通讯方式等；</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（二）请求事项和理由，申请执行的，还需提供被申请人的财产状况和财产所在地；</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（三）判决是否已在其他法院申请执行和执行情况。</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第七条</w:t>
      </w:r>
      <w:r w:rsidR="004177DF"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申请认可和执行判决的期间、程序和方式，应当依据被请求方法律的规定。</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第八条</w:t>
      </w:r>
      <w:r w:rsidR="004177DF"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法院应当尽快审查认可和执行的请求，并</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裁定或者命令。</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第九条</w:t>
      </w:r>
      <w:r w:rsidR="004177DF"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申请认可和执行的判决，被申请人提供证据证明有下列情形之一的，法院审查核实后，不予认可和执行：</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（一）根据原审法院地法律，被申请人未经合法传唤，或者虽经合法传唤但未获得合理的陈述、辩论机会的；</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（二）判决是以欺诈方法取得的；</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lastRenderedPageBreak/>
        <w:t>（三）被请求</w:t>
      </w:r>
      <w:proofErr w:type="gramStart"/>
      <w:r w:rsidRPr="005D12B3">
        <w:rPr>
          <w:rFonts w:ascii="微软雅黑" w:eastAsia="微软雅黑" w:hAnsi="微软雅黑" w:hint="eastAsia"/>
          <w:sz w:val="24"/>
          <w:szCs w:val="24"/>
        </w:rPr>
        <w:t>方法院</w:t>
      </w:r>
      <w:proofErr w:type="gramEnd"/>
      <w:r w:rsidRPr="005D12B3">
        <w:rPr>
          <w:rFonts w:ascii="微软雅黑" w:eastAsia="微软雅黑" w:hAnsi="微软雅黑" w:hint="eastAsia"/>
          <w:sz w:val="24"/>
          <w:szCs w:val="24"/>
        </w:rPr>
        <w:t>受理相关诉讼后，请求</w:t>
      </w:r>
      <w:proofErr w:type="gramStart"/>
      <w:r w:rsidRPr="005D12B3">
        <w:rPr>
          <w:rFonts w:ascii="微软雅黑" w:eastAsia="微软雅黑" w:hAnsi="微软雅黑" w:hint="eastAsia"/>
          <w:sz w:val="24"/>
          <w:szCs w:val="24"/>
        </w:rPr>
        <w:t>方法院</w:t>
      </w:r>
      <w:proofErr w:type="gramEnd"/>
      <w:r w:rsidRPr="005D12B3">
        <w:rPr>
          <w:rFonts w:ascii="微软雅黑" w:eastAsia="微软雅黑" w:hAnsi="微软雅黑" w:hint="eastAsia"/>
          <w:sz w:val="24"/>
          <w:szCs w:val="24"/>
        </w:rPr>
        <w:t>又受理就同一争议提起的诉讼并</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判决的；</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（四）被请求</w:t>
      </w:r>
      <w:proofErr w:type="gramStart"/>
      <w:r w:rsidRPr="005D12B3">
        <w:rPr>
          <w:rFonts w:ascii="微软雅黑" w:eastAsia="微软雅黑" w:hAnsi="微软雅黑" w:hint="eastAsia"/>
          <w:sz w:val="24"/>
          <w:szCs w:val="24"/>
        </w:rPr>
        <w:t>方法院</w:t>
      </w:r>
      <w:proofErr w:type="gramEnd"/>
      <w:r w:rsidRPr="005D12B3">
        <w:rPr>
          <w:rFonts w:ascii="微软雅黑" w:eastAsia="微软雅黑" w:hAnsi="微软雅黑" w:hint="eastAsia"/>
          <w:sz w:val="24"/>
          <w:szCs w:val="24"/>
        </w:rPr>
        <w:t>已经就同一争议</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判决，或者已经认可和执行其他国家和地区法院就同一争议所</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的判决的。</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内地人民法院认为认可和执行香港特别行政区法院判决明显违反内地法律的基本原则或者社会公共利益，香港特别行政区法院认为认可和执行内地人民法院判决明显违反香港特别行政区法律的基本原则或者公共政策的，不予认可和执行。</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申请认可和执行的判决涉及未成年子女的，在根据前款规定审查决定是否认可和执行时，应当充分考虑未成年子女的最佳利益。</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第十条</w:t>
      </w:r>
      <w:r w:rsidR="004177DF"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被请求</w:t>
      </w:r>
      <w:proofErr w:type="gramStart"/>
      <w:r w:rsidRPr="005D12B3">
        <w:rPr>
          <w:rFonts w:ascii="微软雅黑" w:eastAsia="微软雅黑" w:hAnsi="微软雅黑" w:hint="eastAsia"/>
          <w:sz w:val="24"/>
          <w:szCs w:val="24"/>
        </w:rPr>
        <w:t>方法院</w:t>
      </w:r>
      <w:proofErr w:type="gramEnd"/>
      <w:r w:rsidRPr="005D12B3">
        <w:rPr>
          <w:rFonts w:ascii="微软雅黑" w:eastAsia="微软雅黑" w:hAnsi="微软雅黑" w:hint="eastAsia"/>
          <w:sz w:val="24"/>
          <w:szCs w:val="24"/>
        </w:rPr>
        <w:t>不能对判决的全部判</w:t>
      </w:r>
      <w:proofErr w:type="gramStart"/>
      <w:r w:rsidRPr="005D12B3">
        <w:rPr>
          <w:rFonts w:ascii="微软雅黑" w:eastAsia="微软雅黑" w:hAnsi="微软雅黑" w:hint="eastAsia"/>
          <w:sz w:val="24"/>
          <w:szCs w:val="24"/>
        </w:rPr>
        <w:t>项予以</w:t>
      </w:r>
      <w:proofErr w:type="gramEnd"/>
      <w:r w:rsidRPr="005D12B3">
        <w:rPr>
          <w:rFonts w:ascii="微软雅黑" w:eastAsia="微软雅黑" w:hAnsi="微软雅黑" w:hint="eastAsia"/>
          <w:sz w:val="24"/>
          <w:szCs w:val="24"/>
        </w:rPr>
        <w:t>认可和执行时，可以认可和执行其中的部分判项。</w:t>
      </w:r>
    </w:p>
    <w:p w:rsidR="004653BC" w:rsidRPr="005D12B3" w:rsidRDefault="00BA4F68" w:rsidP="005D12B3">
      <w:pPr>
        <w:pStyle w:val="ae"/>
        <w:spacing w:line="340" w:lineRule="exact"/>
        <w:ind w:firstLine="480"/>
        <w:rPr>
          <w:rFonts w:ascii="微软雅黑" w:eastAsia="微软雅黑" w:hAnsi="微软雅黑"/>
          <w:spacing w:val="4"/>
          <w:sz w:val="24"/>
          <w:szCs w:val="24"/>
        </w:rPr>
      </w:pPr>
      <w:r w:rsidRPr="00A65A60">
        <w:rPr>
          <w:rStyle w:val="af"/>
          <w:rFonts w:ascii="微软雅黑" w:eastAsia="微软雅黑" w:hAnsi="微软雅黑" w:hint="eastAsia"/>
          <w:b/>
          <w:bCs/>
          <w:sz w:val="24"/>
          <w:szCs w:val="24"/>
        </w:rPr>
        <w:t>第十一条</w:t>
      </w:r>
      <w:r w:rsidR="004177DF"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对于香港特别行政区法院</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的判决，一方当事人已经提出上诉，内地人民法院审查核实后，可以中止认可和执行程序。</w:t>
      </w:r>
      <w:r w:rsidRPr="005D12B3">
        <w:rPr>
          <w:rFonts w:ascii="微软雅黑" w:eastAsia="微软雅黑" w:hAnsi="微软雅黑" w:hint="eastAsia"/>
          <w:spacing w:val="4"/>
          <w:sz w:val="24"/>
          <w:szCs w:val="24"/>
        </w:rPr>
        <w:t>经上诉，维持全部或者部分原判决的，恢复认可和执行程序；完全改变原判决的，终止认可和执行程序。</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内地人民法院就已经</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的判决裁定再审的，香港特别行政区法院审查核实后，可以中止认可和执行程序。经再审，维持全部或者部分原判决的，恢复认可和执行程序；完全改变原判决的，终止认可和执行程序。</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第十二条</w:t>
      </w:r>
      <w:r w:rsidR="00C741A3"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在本安排下，内地人民法院</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的有关财产归一方所有的判项，在香港特别行政区将被视为命令</w:t>
      </w:r>
      <w:proofErr w:type="gramStart"/>
      <w:r w:rsidRPr="005D12B3">
        <w:rPr>
          <w:rFonts w:ascii="微软雅黑" w:eastAsia="微软雅黑" w:hAnsi="微软雅黑" w:hint="eastAsia"/>
          <w:sz w:val="24"/>
          <w:szCs w:val="24"/>
        </w:rPr>
        <w:t>一</w:t>
      </w:r>
      <w:proofErr w:type="gramEnd"/>
      <w:r w:rsidRPr="005D12B3">
        <w:rPr>
          <w:rFonts w:ascii="微软雅黑" w:eastAsia="微软雅黑" w:hAnsi="微软雅黑" w:hint="eastAsia"/>
          <w:sz w:val="24"/>
          <w:szCs w:val="24"/>
        </w:rPr>
        <w:t>方向另一方转让该财产。</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第十三条</w:t>
      </w:r>
      <w:r w:rsidR="00C741A3"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被申请人在内地和香港特别行政区均有可供执行财产的，申请人可以分别向两地法院申请执行。</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两地法院执行财产的总额不得超过判决确定的数额。应对</w:t>
      </w:r>
      <w:proofErr w:type="gramStart"/>
      <w:r w:rsidRPr="005D12B3">
        <w:rPr>
          <w:rFonts w:ascii="微软雅黑" w:eastAsia="微软雅黑" w:hAnsi="微软雅黑" w:hint="eastAsia"/>
          <w:sz w:val="24"/>
          <w:szCs w:val="24"/>
        </w:rPr>
        <w:t>方法院</w:t>
      </w:r>
      <w:proofErr w:type="gramEnd"/>
      <w:r w:rsidRPr="005D12B3">
        <w:rPr>
          <w:rFonts w:ascii="微软雅黑" w:eastAsia="微软雅黑" w:hAnsi="微软雅黑" w:hint="eastAsia"/>
          <w:sz w:val="24"/>
          <w:szCs w:val="24"/>
        </w:rPr>
        <w:t>要求，两地法院应当相互提供本院执行判决的情况。</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第十四条</w:t>
      </w:r>
      <w:r w:rsidR="00C741A3"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内地与香港特别行政区法院相互认可和执行的财产给付范围，包括判决确定的给付财产和相应的利息、迟延履行金、诉讼费，不包括税收、罚款。</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前款所称诉讼费，在香港特别行政区是指</w:t>
      </w:r>
      <w:proofErr w:type="gramStart"/>
      <w:r w:rsidRPr="005D12B3">
        <w:rPr>
          <w:rFonts w:ascii="微软雅黑" w:eastAsia="微软雅黑" w:hAnsi="微软雅黑" w:hint="eastAsia"/>
          <w:sz w:val="24"/>
          <w:szCs w:val="24"/>
        </w:rPr>
        <w:t>讼</w:t>
      </w:r>
      <w:proofErr w:type="gramEnd"/>
      <w:r w:rsidRPr="005D12B3">
        <w:rPr>
          <w:rFonts w:ascii="微软雅黑" w:eastAsia="微软雅黑" w:hAnsi="微软雅黑" w:hint="eastAsia"/>
          <w:sz w:val="24"/>
          <w:szCs w:val="24"/>
        </w:rPr>
        <w:t>费评定证明书、定额</w:t>
      </w:r>
      <w:proofErr w:type="gramStart"/>
      <w:r w:rsidRPr="005D12B3">
        <w:rPr>
          <w:rFonts w:ascii="微软雅黑" w:eastAsia="微软雅黑" w:hAnsi="微软雅黑" w:hint="eastAsia"/>
          <w:sz w:val="24"/>
          <w:szCs w:val="24"/>
        </w:rPr>
        <w:t>讼</w:t>
      </w:r>
      <w:proofErr w:type="gramEnd"/>
      <w:r w:rsidRPr="005D12B3">
        <w:rPr>
          <w:rFonts w:ascii="微软雅黑" w:eastAsia="微软雅黑" w:hAnsi="微软雅黑" w:hint="eastAsia"/>
          <w:sz w:val="24"/>
          <w:szCs w:val="24"/>
        </w:rPr>
        <w:t>费证明书核定或者命令支付的费用。</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Fonts w:ascii="微软雅黑" w:eastAsia="微软雅黑" w:hAnsi="微软雅黑" w:hint="eastAsia"/>
          <w:b/>
          <w:bCs/>
          <w:sz w:val="24"/>
          <w:szCs w:val="24"/>
        </w:rPr>
        <w:t>第十五条</w:t>
      </w:r>
      <w:r w:rsidR="00C741A3" w:rsidRPr="005D12B3">
        <w:rPr>
          <w:rFonts w:ascii="微软雅黑" w:eastAsia="微软雅黑" w:hAnsi="微软雅黑" w:hint="eastAsia"/>
          <w:sz w:val="24"/>
          <w:szCs w:val="24"/>
        </w:rPr>
        <w:t xml:space="preserve">　</w:t>
      </w:r>
      <w:r w:rsidRPr="005D12B3">
        <w:rPr>
          <w:rFonts w:ascii="微软雅黑" w:eastAsia="微软雅黑" w:hAnsi="微软雅黑" w:hint="eastAsia"/>
          <w:sz w:val="24"/>
          <w:szCs w:val="24"/>
        </w:rPr>
        <w:t>被请求</w:t>
      </w:r>
      <w:proofErr w:type="gramStart"/>
      <w:r w:rsidRPr="005D12B3">
        <w:rPr>
          <w:rFonts w:ascii="微软雅黑" w:eastAsia="微软雅黑" w:hAnsi="微软雅黑" w:hint="eastAsia"/>
          <w:sz w:val="24"/>
          <w:szCs w:val="24"/>
        </w:rPr>
        <w:t>方法院</w:t>
      </w:r>
      <w:proofErr w:type="gramEnd"/>
      <w:r w:rsidRPr="005D12B3">
        <w:rPr>
          <w:rFonts w:ascii="微软雅黑" w:eastAsia="微软雅黑" w:hAnsi="微软雅黑" w:hint="eastAsia"/>
          <w:sz w:val="24"/>
          <w:szCs w:val="24"/>
        </w:rPr>
        <w:t>就认可和执行的申请</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裁定或者命令后，当事人不服的，在内地可以于裁定送达之日起十日内向上一级人民法院申请复议，在香港特别行政区可以依据其法律规定提出上诉。</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第十六条</w:t>
      </w:r>
      <w:r w:rsidR="00D245F7"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在审理婚姻家庭民事案件期间，当事人申请认可和执行另一地法院就同一争议</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的判决的，应当受理。受理后，有关诉讼应当中止，</w:t>
      </w:r>
      <w:proofErr w:type="gramStart"/>
      <w:r w:rsidRPr="005D12B3">
        <w:rPr>
          <w:rFonts w:ascii="微软雅黑" w:eastAsia="微软雅黑" w:hAnsi="微软雅黑" w:hint="eastAsia"/>
          <w:sz w:val="24"/>
          <w:szCs w:val="24"/>
        </w:rPr>
        <w:t>待就认可</w:t>
      </w:r>
      <w:proofErr w:type="gramEnd"/>
      <w:r w:rsidRPr="005D12B3">
        <w:rPr>
          <w:rFonts w:ascii="微软雅黑" w:eastAsia="微软雅黑" w:hAnsi="微软雅黑" w:hint="eastAsia"/>
          <w:sz w:val="24"/>
          <w:szCs w:val="24"/>
        </w:rPr>
        <w:t>和执行的申请</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裁定或者命令后，再视情终止或者恢复诉讼。</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Style w:val="af"/>
          <w:rFonts w:ascii="微软雅黑" w:eastAsia="微软雅黑" w:hAnsi="微软雅黑" w:hint="eastAsia"/>
          <w:b/>
          <w:bCs/>
          <w:sz w:val="24"/>
          <w:szCs w:val="24"/>
        </w:rPr>
        <w:t>第十七条</w:t>
      </w:r>
      <w:r w:rsidR="00D245F7" w:rsidRPr="005D12B3">
        <w:rPr>
          <w:rStyle w:val="af"/>
          <w:rFonts w:ascii="微软雅黑" w:eastAsia="微软雅黑" w:hAnsi="微软雅黑" w:hint="eastAsia"/>
          <w:sz w:val="24"/>
          <w:szCs w:val="24"/>
        </w:rPr>
        <w:t xml:space="preserve">　</w:t>
      </w:r>
      <w:r w:rsidRPr="005D12B3">
        <w:rPr>
          <w:rFonts w:ascii="微软雅黑" w:eastAsia="微软雅黑" w:hAnsi="微软雅黑" w:hint="eastAsia"/>
          <w:sz w:val="24"/>
          <w:szCs w:val="24"/>
        </w:rPr>
        <w:t>审查认可和执行判决申请期间，当事人就同一争议提起诉讼的，不予受理；已经受理的，驳回起诉。</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判决获得认可和执行后，当事人又就同一争议提起诉讼的，不予受理。</w:t>
      </w:r>
    </w:p>
    <w:p w:rsidR="004653BC" w:rsidRPr="005D12B3" w:rsidRDefault="00BA4F68" w:rsidP="005D12B3">
      <w:pPr>
        <w:pStyle w:val="ae"/>
        <w:spacing w:line="340" w:lineRule="exact"/>
        <w:ind w:firstLine="480"/>
        <w:rPr>
          <w:rFonts w:ascii="微软雅黑" w:eastAsia="微软雅黑" w:hAnsi="微软雅黑"/>
          <w:sz w:val="24"/>
          <w:szCs w:val="24"/>
        </w:rPr>
      </w:pPr>
      <w:r w:rsidRPr="005D12B3">
        <w:rPr>
          <w:rFonts w:ascii="微软雅黑" w:eastAsia="微软雅黑" w:hAnsi="微软雅黑" w:hint="eastAsia"/>
          <w:sz w:val="24"/>
          <w:szCs w:val="24"/>
        </w:rPr>
        <w:t>判决未获认可和执行的，申请人不得再次申请认可和执行，但可以就同一争议向被请求</w:t>
      </w:r>
      <w:proofErr w:type="gramStart"/>
      <w:r w:rsidRPr="005D12B3">
        <w:rPr>
          <w:rFonts w:ascii="微软雅黑" w:eastAsia="微软雅黑" w:hAnsi="微软雅黑" w:hint="eastAsia"/>
          <w:sz w:val="24"/>
          <w:szCs w:val="24"/>
        </w:rPr>
        <w:t>方法院</w:t>
      </w:r>
      <w:proofErr w:type="gramEnd"/>
      <w:r w:rsidRPr="005D12B3">
        <w:rPr>
          <w:rFonts w:ascii="微软雅黑" w:eastAsia="微软雅黑" w:hAnsi="微软雅黑" w:hint="eastAsia"/>
          <w:sz w:val="24"/>
          <w:szCs w:val="24"/>
        </w:rPr>
        <w:t>提起诉讼。</w:t>
      </w:r>
    </w:p>
    <w:p w:rsidR="004653BC" w:rsidRPr="005D12B3" w:rsidRDefault="00BA4F68" w:rsidP="005D12B3">
      <w:pPr>
        <w:pStyle w:val="ae"/>
        <w:spacing w:line="340" w:lineRule="exact"/>
        <w:ind w:firstLine="480"/>
        <w:rPr>
          <w:rFonts w:ascii="微软雅黑" w:eastAsia="微软雅黑" w:hAnsi="微软雅黑"/>
          <w:spacing w:val="4"/>
          <w:sz w:val="24"/>
          <w:szCs w:val="24"/>
        </w:rPr>
      </w:pPr>
      <w:r w:rsidRPr="00A65A60">
        <w:rPr>
          <w:rFonts w:ascii="微软雅黑" w:eastAsia="微软雅黑" w:hAnsi="微软雅黑" w:hint="eastAsia"/>
          <w:b/>
          <w:bCs/>
          <w:sz w:val="24"/>
          <w:szCs w:val="24"/>
        </w:rPr>
        <w:t>第十八条</w:t>
      </w:r>
      <w:r w:rsidR="00D245F7" w:rsidRPr="005D12B3">
        <w:rPr>
          <w:rFonts w:ascii="微软雅黑" w:eastAsia="微软雅黑" w:hAnsi="微软雅黑" w:hint="eastAsia"/>
          <w:sz w:val="24"/>
          <w:szCs w:val="24"/>
        </w:rPr>
        <w:t xml:space="preserve">　</w:t>
      </w:r>
      <w:r w:rsidRPr="005D12B3">
        <w:rPr>
          <w:rFonts w:ascii="微软雅黑" w:eastAsia="微软雅黑" w:hAnsi="微软雅黑" w:hint="eastAsia"/>
          <w:spacing w:val="4"/>
          <w:sz w:val="24"/>
          <w:szCs w:val="24"/>
        </w:rPr>
        <w:t>被请求</w:t>
      </w:r>
      <w:proofErr w:type="gramStart"/>
      <w:r w:rsidRPr="005D12B3">
        <w:rPr>
          <w:rFonts w:ascii="微软雅黑" w:eastAsia="微软雅黑" w:hAnsi="微软雅黑" w:hint="eastAsia"/>
          <w:spacing w:val="4"/>
          <w:sz w:val="24"/>
          <w:szCs w:val="24"/>
        </w:rPr>
        <w:t>方法院</w:t>
      </w:r>
      <w:proofErr w:type="gramEnd"/>
      <w:r w:rsidRPr="005D12B3">
        <w:rPr>
          <w:rFonts w:ascii="微软雅黑" w:eastAsia="微软雅黑" w:hAnsi="微软雅黑" w:hint="eastAsia"/>
          <w:spacing w:val="4"/>
          <w:sz w:val="24"/>
          <w:szCs w:val="24"/>
        </w:rPr>
        <w:t>在受理认可和执行判决的申请之前或者之后，可以依据其法律规定采取保全或者强制措施。</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Fonts w:ascii="微软雅黑" w:eastAsia="微软雅黑" w:hAnsi="微软雅黑" w:hint="eastAsia"/>
          <w:b/>
          <w:bCs/>
          <w:sz w:val="24"/>
          <w:szCs w:val="24"/>
        </w:rPr>
        <w:t>第十九条</w:t>
      </w:r>
      <w:r w:rsidR="00D245F7" w:rsidRPr="005D12B3">
        <w:rPr>
          <w:rFonts w:ascii="微软雅黑" w:eastAsia="微软雅黑" w:hAnsi="微软雅黑" w:hint="eastAsia"/>
          <w:sz w:val="24"/>
          <w:szCs w:val="24"/>
        </w:rPr>
        <w:t xml:space="preserve">　</w:t>
      </w:r>
      <w:r w:rsidRPr="005D12B3">
        <w:rPr>
          <w:rFonts w:ascii="微软雅黑" w:eastAsia="微软雅黑" w:hAnsi="微软雅黑" w:hint="eastAsia"/>
          <w:sz w:val="24"/>
          <w:szCs w:val="24"/>
        </w:rPr>
        <w:t>申请认可和执行判决的，应当依据被请求方有关诉讼收费的法律和规定交纳费用。</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Fonts w:ascii="微软雅黑" w:eastAsia="微软雅黑" w:hAnsi="微软雅黑" w:hint="eastAsia"/>
          <w:b/>
          <w:bCs/>
          <w:sz w:val="24"/>
          <w:szCs w:val="24"/>
        </w:rPr>
        <w:t>第二十条</w:t>
      </w:r>
      <w:r w:rsidR="00D245F7" w:rsidRPr="005D12B3">
        <w:rPr>
          <w:rFonts w:ascii="微软雅黑" w:eastAsia="微软雅黑" w:hAnsi="微软雅黑" w:hint="eastAsia"/>
          <w:sz w:val="24"/>
          <w:szCs w:val="24"/>
        </w:rPr>
        <w:t xml:space="preserve">　</w:t>
      </w:r>
      <w:r w:rsidRPr="005D12B3">
        <w:rPr>
          <w:rFonts w:ascii="微软雅黑" w:eastAsia="微软雅黑" w:hAnsi="微软雅黑" w:hint="eastAsia"/>
          <w:sz w:val="24"/>
          <w:szCs w:val="24"/>
        </w:rPr>
        <w:t>内地与香港特别行政区法院自本安排生效之日起</w:t>
      </w:r>
      <w:proofErr w:type="gramStart"/>
      <w:r w:rsidRPr="005D12B3">
        <w:rPr>
          <w:rFonts w:ascii="微软雅黑" w:eastAsia="微软雅黑" w:hAnsi="微软雅黑" w:hint="eastAsia"/>
          <w:sz w:val="24"/>
          <w:szCs w:val="24"/>
        </w:rPr>
        <w:t>作出</w:t>
      </w:r>
      <w:proofErr w:type="gramEnd"/>
      <w:r w:rsidRPr="005D12B3">
        <w:rPr>
          <w:rFonts w:ascii="微软雅黑" w:eastAsia="微软雅黑" w:hAnsi="微软雅黑" w:hint="eastAsia"/>
          <w:sz w:val="24"/>
          <w:szCs w:val="24"/>
        </w:rPr>
        <w:t>的判决，适用本安排。</w:t>
      </w:r>
    </w:p>
    <w:p w:rsidR="004653BC" w:rsidRPr="005D12B3" w:rsidRDefault="00BA4F68" w:rsidP="005D12B3">
      <w:pPr>
        <w:pStyle w:val="ae"/>
        <w:spacing w:line="340" w:lineRule="exact"/>
        <w:ind w:firstLine="480"/>
        <w:rPr>
          <w:rFonts w:ascii="微软雅黑" w:eastAsia="微软雅黑" w:hAnsi="微软雅黑"/>
          <w:sz w:val="24"/>
          <w:szCs w:val="24"/>
        </w:rPr>
      </w:pPr>
      <w:r w:rsidRPr="00A65A60">
        <w:rPr>
          <w:rFonts w:ascii="微软雅黑" w:eastAsia="微软雅黑" w:hAnsi="微软雅黑" w:hint="eastAsia"/>
          <w:b/>
          <w:bCs/>
          <w:sz w:val="24"/>
          <w:szCs w:val="24"/>
        </w:rPr>
        <w:t>第二十一条</w:t>
      </w:r>
      <w:r w:rsidR="00D245F7" w:rsidRPr="005D12B3">
        <w:rPr>
          <w:rFonts w:ascii="微软雅黑" w:eastAsia="微软雅黑" w:hAnsi="微软雅黑" w:hint="eastAsia"/>
          <w:sz w:val="24"/>
          <w:szCs w:val="24"/>
        </w:rPr>
        <w:t xml:space="preserve">　</w:t>
      </w:r>
      <w:r w:rsidRPr="005D12B3">
        <w:rPr>
          <w:rFonts w:ascii="微软雅黑" w:eastAsia="微软雅黑" w:hAnsi="微软雅黑" w:hint="eastAsia"/>
          <w:sz w:val="24"/>
          <w:szCs w:val="24"/>
        </w:rPr>
        <w:t>本安排在执行过程中遇有问题或者需要修改的，由最高人民法院和香港特别行政区政府协商解决。</w:t>
      </w:r>
    </w:p>
    <w:p w:rsidR="00F34157" w:rsidRPr="005D12B3" w:rsidRDefault="00BA4F68" w:rsidP="005D12B3">
      <w:pPr>
        <w:pStyle w:val="ae"/>
        <w:spacing w:line="340" w:lineRule="exact"/>
        <w:ind w:firstLine="480"/>
        <w:rPr>
          <w:rFonts w:ascii="微软雅黑" w:eastAsia="微软雅黑" w:hAnsi="微软雅黑"/>
          <w:sz w:val="24"/>
          <w:szCs w:val="24"/>
        </w:rPr>
      </w:pPr>
      <w:r w:rsidRPr="00A65A60">
        <w:rPr>
          <w:rFonts w:ascii="微软雅黑" w:eastAsia="微软雅黑" w:hAnsi="微软雅黑" w:hint="eastAsia"/>
          <w:b/>
          <w:bCs/>
          <w:sz w:val="24"/>
          <w:szCs w:val="24"/>
        </w:rPr>
        <w:t>第二十二条</w:t>
      </w:r>
      <w:r w:rsidR="00D245F7" w:rsidRPr="005D12B3">
        <w:rPr>
          <w:rFonts w:ascii="微软雅黑" w:eastAsia="微软雅黑" w:hAnsi="微软雅黑" w:hint="eastAsia"/>
          <w:sz w:val="24"/>
          <w:szCs w:val="24"/>
        </w:rPr>
        <w:t xml:space="preserve">　</w:t>
      </w:r>
      <w:r w:rsidRPr="005D12B3">
        <w:rPr>
          <w:rFonts w:ascii="微软雅黑" w:eastAsia="微软雅黑" w:hAnsi="微软雅黑" w:hint="eastAsia"/>
          <w:sz w:val="24"/>
          <w:szCs w:val="24"/>
        </w:rPr>
        <w:t>本安排自2022年2月15日起施行。</w:t>
      </w:r>
    </w:p>
    <w:sectPr w:rsidR="00F34157" w:rsidRPr="005D12B3" w:rsidSect="005D12B3">
      <w:footerReference w:type="even" r:id="rId8"/>
      <w:footerReference w:type="default" r:id="rId9"/>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977" w:rsidRDefault="00775977">
      <w:r>
        <w:separator/>
      </w:r>
    </w:p>
  </w:endnote>
  <w:endnote w:type="continuationSeparator" w:id="0">
    <w:p w:rsidR="00775977" w:rsidRDefault="00775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4FC" w:rsidRPr="000514FC" w:rsidRDefault="00D016BE" w:rsidP="00D016BE">
    <w:pPr>
      <w:pStyle w:val="af2"/>
      <w:ind w:right="-378"/>
    </w:pPr>
    <w:r>
      <w:fldChar w:fldCharType="begin"/>
    </w:r>
    <w:r>
      <w:instrText xml:space="preserve"> PAGE  \* ArabicDash  \* MERGEFORMAT </w:instrText>
    </w:r>
    <w:r>
      <w:fldChar w:fldCharType="separate"/>
    </w:r>
    <w:r>
      <w:rPr>
        <w:noProof/>
      </w:rPr>
      <w:t>- 8 -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4FC" w:rsidRDefault="00D016BE" w:rsidP="005D12B3">
    <w:pPr>
      <w:pStyle w:val="af3"/>
      <w:ind w:leftChars="0" w:left="0" w:firstLineChars="3450" w:firstLine="9660"/>
    </w:pPr>
    <w:r>
      <w:fldChar w:fldCharType="begin"/>
    </w:r>
    <w:r>
      <w:instrText xml:space="preserve"> PAGE  \* ArabicDash  \* MERGEFORMAT </w:instrText>
    </w:r>
    <w:r>
      <w:fldChar w:fldCharType="separate"/>
    </w:r>
    <w:r>
      <w:rPr>
        <w:noProof/>
      </w:rPr>
      <w:t>- 7 -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977" w:rsidRDefault="00775977">
      <w:r>
        <w:separator/>
      </w:r>
    </w:p>
  </w:footnote>
  <w:footnote w:type="continuationSeparator" w:id="0">
    <w:p w:rsidR="00775977" w:rsidRDefault="00775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5A2345A"/>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0DA6314"/>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48E01584"/>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710A210C"/>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F492208C"/>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D57A289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83474C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03C26B9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E048EA3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5B27F96"/>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5"/>
  </w:num>
  <w:num w:numId="7">
    <w:abstractNumId w:val="4"/>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YyNWIxNjUxNTg5MTAyMmRhODhlNjJlOTYyMGM1MWUifQ=="/>
  </w:docVars>
  <w:rsids>
    <w:rsidRoot w:val="002D6C55"/>
    <w:rsid w:val="000051BA"/>
    <w:rsid w:val="00007DC9"/>
    <w:rsid w:val="00022FF2"/>
    <w:rsid w:val="000246CF"/>
    <w:rsid w:val="00026B55"/>
    <w:rsid w:val="000300E0"/>
    <w:rsid w:val="00034599"/>
    <w:rsid w:val="0004157A"/>
    <w:rsid w:val="00041639"/>
    <w:rsid w:val="00046FD0"/>
    <w:rsid w:val="000514FC"/>
    <w:rsid w:val="00060A39"/>
    <w:rsid w:val="00060B3A"/>
    <w:rsid w:val="000658AA"/>
    <w:rsid w:val="00070A8B"/>
    <w:rsid w:val="000720A0"/>
    <w:rsid w:val="00072E51"/>
    <w:rsid w:val="000831A5"/>
    <w:rsid w:val="00092662"/>
    <w:rsid w:val="00093500"/>
    <w:rsid w:val="00094871"/>
    <w:rsid w:val="000A67EC"/>
    <w:rsid w:val="000B1F15"/>
    <w:rsid w:val="000B41EC"/>
    <w:rsid w:val="000B47FF"/>
    <w:rsid w:val="000C4793"/>
    <w:rsid w:val="000D7352"/>
    <w:rsid w:val="000E4EE9"/>
    <w:rsid w:val="000E5187"/>
    <w:rsid w:val="000E56CF"/>
    <w:rsid w:val="000E6D88"/>
    <w:rsid w:val="000F150B"/>
    <w:rsid w:val="000F2196"/>
    <w:rsid w:val="000F2D91"/>
    <w:rsid w:val="000F5EBA"/>
    <w:rsid w:val="001044EF"/>
    <w:rsid w:val="00105524"/>
    <w:rsid w:val="00105EA6"/>
    <w:rsid w:val="001066EE"/>
    <w:rsid w:val="00106D59"/>
    <w:rsid w:val="0011622B"/>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5837"/>
    <w:rsid w:val="0021638E"/>
    <w:rsid w:val="002216B9"/>
    <w:rsid w:val="0023259F"/>
    <w:rsid w:val="00233F94"/>
    <w:rsid w:val="00235183"/>
    <w:rsid w:val="00241E35"/>
    <w:rsid w:val="002428F9"/>
    <w:rsid w:val="00253813"/>
    <w:rsid w:val="00254E9D"/>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0431D"/>
    <w:rsid w:val="00311EB0"/>
    <w:rsid w:val="00313AEE"/>
    <w:rsid w:val="0031621E"/>
    <w:rsid w:val="00327650"/>
    <w:rsid w:val="00334544"/>
    <w:rsid w:val="003370AB"/>
    <w:rsid w:val="00337E4D"/>
    <w:rsid w:val="003407E4"/>
    <w:rsid w:val="00340D0A"/>
    <w:rsid w:val="00342C41"/>
    <w:rsid w:val="00344576"/>
    <w:rsid w:val="003561D5"/>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3F6DB1"/>
    <w:rsid w:val="00403942"/>
    <w:rsid w:val="004177DF"/>
    <w:rsid w:val="00422EA0"/>
    <w:rsid w:val="00424C9C"/>
    <w:rsid w:val="00431DB2"/>
    <w:rsid w:val="00432CA7"/>
    <w:rsid w:val="004358E6"/>
    <w:rsid w:val="00437D77"/>
    <w:rsid w:val="00440B14"/>
    <w:rsid w:val="00447D9F"/>
    <w:rsid w:val="00454D12"/>
    <w:rsid w:val="00463561"/>
    <w:rsid w:val="004653BC"/>
    <w:rsid w:val="004724D5"/>
    <w:rsid w:val="00473BA4"/>
    <w:rsid w:val="004745A3"/>
    <w:rsid w:val="0048272B"/>
    <w:rsid w:val="00482EE2"/>
    <w:rsid w:val="00493ABE"/>
    <w:rsid w:val="004A69A0"/>
    <w:rsid w:val="004B0465"/>
    <w:rsid w:val="004B1A57"/>
    <w:rsid w:val="004B2619"/>
    <w:rsid w:val="004B7D8C"/>
    <w:rsid w:val="004C1EAA"/>
    <w:rsid w:val="004C4DF7"/>
    <w:rsid w:val="004C569C"/>
    <w:rsid w:val="004D308D"/>
    <w:rsid w:val="004F5158"/>
    <w:rsid w:val="00506C84"/>
    <w:rsid w:val="005142A1"/>
    <w:rsid w:val="00517CAB"/>
    <w:rsid w:val="0053685A"/>
    <w:rsid w:val="00536EBF"/>
    <w:rsid w:val="0053713F"/>
    <w:rsid w:val="005433C2"/>
    <w:rsid w:val="005502F2"/>
    <w:rsid w:val="00562083"/>
    <w:rsid w:val="0057423C"/>
    <w:rsid w:val="0058350A"/>
    <w:rsid w:val="00586344"/>
    <w:rsid w:val="00594376"/>
    <w:rsid w:val="005A3B1C"/>
    <w:rsid w:val="005A56F6"/>
    <w:rsid w:val="005A6C12"/>
    <w:rsid w:val="005C1972"/>
    <w:rsid w:val="005D12B3"/>
    <w:rsid w:val="005D3469"/>
    <w:rsid w:val="005E1766"/>
    <w:rsid w:val="005E2A4A"/>
    <w:rsid w:val="005E48B7"/>
    <w:rsid w:val="005F1B3D"/>
    <w:rsid w:val="00602816"/>
    <w:rsid w:val="00604ACB"/>
    <w:rsid w:val="00606C5B"/>
    <w:rsid w:val="00612F03"/>
    <w:rsid w:val="006171AA"/>
    <w:rsid w:val="00617304"/>
    <w:rsid w:val="006178C3"/>
    <w:rsid w:val="00621BAF"/>
    <w:rsid w:val="0062410E"/>
    <w:rsid w:val="00626CE8"/>
    <w:rsid w:val="006465AA"/>
    <w:rsid w:val="00661621"/>
    <w:rsid w:val="00663037"/>
    <w:rsid w:val="006711F4"/>
    <w:rsid w:val="0068140B"/>
    <w:rsid w:val="00685825"/>
    <w:rsid w:val="0069347C"/>
    <w:rsid w:val="006A1214"/>
    <w:rsid w:val="006A48B5"/>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5977"/>
    <w:rsid w:val="007775EF"/>
    <w:rsid w:val="00787E3C"/>
    <w:rsid w:val="007A51E0"/>
    <w:rsid w:val="007A6544"/>
    <w:rsid w:val="007A7FD3"/>
    <w:rsid w:val="007B2410"/>
    <w:rsid w:val="007C01D1"/>
    <w:rsid w:val="007C5705"/>
    <w:rsid w:val="007D13B8"/>
    <w:rsid w:val="007D77CE"/>
    <w:rsid w:val="00802CDC"/>
    <w:rsid w:val="00805E1D"/>
    <w:rsid w:val="00813FEC"/>
    <w:rsid w:val="00814E29"/>
    <w:rsid w:val="00823C1E"/>
    <w:rsid w:val="00826D77"/>
    <w:rsid w:val="0083338D"/>
    <w:rsid w:val="00855283"/>
    <w:rsid w:val="008701AB"/>
    <w:rsid w:val="0087139A"/>
    <w:rsid w:val="008760A5"/>
    <w:rsid w:val="00877798"/>
    <w:rsid w:val="008802DB"/>
    <w:rsid w:val="00881967"/>
    <w:rsid w:val="00885F48"/>
    <w:rsid w:val="00890F76"/>
    <w:rsid w:val="0089274E"/>
    <w:rsid w:val="008A08FA"/>
    <w:rsid w:val="008C0131"/>
    <w:rsid w:val="008E70E5"/>
    <w:rsid w:val="008F50DB"/>
    <w:rsid w:val="008F5238"/>
    <w:rsid w:val="008F7723"/>
    <w:rsid w:val="00904BC8"/>
    <w:rsid w:val="00911248"/>
    <w:rsid w:val="00913A4E"/>
    <w:rsid w:val="00925F75"/>
    <w:rsid w:val="009617FB"/>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940"/>
    <w:rsid w:val="00A35D41"/>
    <w:rsid w:val="00A40953"/>
    <w:rsid w:val="00A459E3"/>
    <w:rsid w:val="00A571FE"/>
    <w:rsid w:val="00A636AF"/>
    <w:rsid w:val="00A65A60"/>
    <w:rsid w:val="00A672F5"/>
    <w:rsid w:val="00A773EC"/>
    <w:rsid w:val="00AA03DB"/>
    <w:rsid w:val="00AA164E"/>
    <w:rsid w:val="00AA3B2D"/>
    <w:rsid w:val="00AA7268"/>
    <w:rsid w:val="00AB0D6D"/>
    <w:rsid w:val="00AB68DD"/>
    <w:rsid w:val="00AC2B0B"/>
    <w:rsid w:val="00AC4F2A"/>
    <w:rsid w:val="00AC7403"/>
    <w:rsid w:val="00AD35D8"/>
    <w:rsid w:val="00AD6BB8"/>
    <w:rsid w:val="00AF6D19"/>
    <w:rsid w:val="00B018B8"/>
    <w:rsid w:val="00B1436F"/>
    <w:rsid w:val="00B17FDC"/>
    <w:rsid w:val="00B22148"/>
    <w:rsid w:val="00B25C4D"/>
    <w:rsid w:val="00B3048F"/>
    <w:rsid w:val="00B32A99"/>
    <w:rsid w:val="00B364E6"/>
    <w:rsid w:val="00B47C30"/>
    <w:rsid w:val="00B47F03"/>
    <w:rsid w:val="00B62010"/>
    <w:rsid w:val="00B6417D"/>
    <w:rsid w:val="00B712AC"/>
    <w:rsid w:val="00B82084"/>
    <w:rsid w:val="00B95E1A"/>
    <w:rsid w:val="00BA18F5"/>
    <w:rsid w:val="00BA4F68"/>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233A3"/>
    <w:rsid w:val="00C41CE2"/>
    <w:rsid w:val="00C452E4"/>
    <w:rsid w:val="00C53D36"/>
    <w:rsid w:val="00C57E0D"/>
    <w:rsid w:val="00C636EE"/>
    <w:rsid w:val="00C7181C"/>
    <w:rsid w:val="00C73C73"/>
    <w:rsid w:val="00C741A3"/>
    <w:rsid w:val="00C748B2"/>
    <w:rsid w:val="00C75F27"/>
    <w:rsid w:val="00C76A21"/>
    <w:rsid w:val="00C85BE4"/>
    <w:rsid w:val="00CA052E"/>
    <w:rsid w:val="00CA3B61"/>
    <w:rsid w:val="00CB05CD"/>
    <w:rsid w:val="00CB268F"/>
    <w:rsid w:val="00CD046D"/>
    <w:rsid w:val="00CD15F8"/>
    <w:rsid w:val="00CD207F"/>
    <w:rsid w:val="00CF0128"/>
    <w:rsid w:val="00CF0812"/>
    <w:rsid w:val="00CF245A"/>
    <w:rsid w:val="00CF41FE"/>
    <w:rsid w:val="00CF4321"/>
    <w:rsid w:val="00CF5E94"/>
    <w:rsid w:val="00CF7BE1"/>
    <w:rsid w:val="00D016BE"/>
    <w:rsid w:val="00D0443A"/>
    <w:rsid w:val="00D04EB5"/>
    <w:rsid w:val="00D07F94"/>
    <w:rsid w:val="00D16B69"/>
    <w:rsid w:val="00D21DEB"/>
    <w:rsid w:val="00D21E5A"/>
    <w:rsid w:val="00D245F7"/>
    <w:rsid w:val="00D3514F"/>
    <w:rsid w:val="00D5052C"/>
    <w:rsid w:val="00D6266A"/>
    <w:rsid w:val="00D856FF"/>
    <w:rsid w:val="00D91B04"/>
    <w:rsid w:val="00D91F48"/>
    <w:rsid w:val="00D937CE"/>
    <w:rsid w:val="00D97443"/>
    <w:rsid w:val="00DB1764"/>
    <w:rsid w:val="00DB2440"/>
    <w:rsid w:val="00DB3C8A"/>
    <w:rsid w:val="00DB5F18"/>
    <w:rsid w:val="00DC5F89"/>
    <w:rsid w:val="00DD0C51"/>
    <w:rsid w:val="00DD7AE6"/>
    <w:rsid w:val="00DE69D1"/>
    <w:rsid w:val="00DF68AA"/>
    <w:rsid w:val="00E06E17"/>
    <w:rsid w:val="00E11578"/>
    <w:rsid w:val="00E16569"/>
    <w:rsid w:val="00E2376E"/>
    <w:rsid w:val="00E25C09"/>
    <w:rsid w:val="00E33AF2"/>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11389"/>
    <w:rsid w:val="00F11CAA"/>
    <w:rsid w:val="00F14865"/>
    <w:rsid w:val="00F3114F"/>
    <w:rsid w:val="00F3147A"/>
    <w:rsid w:val="00F31FF1"/>
    <w:rsid w:val="00F34157"/>
    <w:rsid w:val="00F347B6"/>
    <w:rsid w:val="00F37571"/>
    <w:rsid w:val="00F44A15"/>
    <w:rsid w:val="00F46B3C"/>
    <w:rsid w:val="00F4779A"/>
    <w:rsid w:val="00F64A2C"/>
    <w:rsid w:val="00F64D94"/>
    <w:rsid w:val="00F70562"/>
    <w:rsid w:val="00F744B5"/>
    <w:rsid w:val="00F74986"/>
    <w:rsid w:val="00F76D03"/>
    <w:rsid w:val="00F845F5"/>
    <w:rsid w:val="00F84788"/>
    <w:rsid w:val="00F865EA"/>
    <w:rsid w:val="00F90AF4"/>
    <w:rsid w:val="00F92C7B"/>
    <w:rsid w:val="00FA21BD"/>
    <w:rsid w:val="00FB3DE0"/>
    <w:rsid w:val="00FB46C7"/>
    <w:rsid w:val="00FC2B5F"/>
    <w:rsid w:val="00FD0009"/>
    <w:rsid w:val="00FD364A"/>
    <w:rsid w:val="00FD51B5"/>
    <w:rsid w:val="00FF402A"/>
    <w:rsid w:val="00FF690A"/>
    <w:rsid w:val="30E67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289350"/>
  <w15:docId w15:val="{A1DB73C2-F102-4615-826A-BD4E711E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rsid w:val="000514FC"/>
    <w:pP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sid w:val="000514FC"/>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b">
    <w:name w:val="法 标题"/>
    <w:qFormat/>
    <w:rsid w:val="00FD364A"/>
    <w:pPr>
      <w:widowControl w:val="0"/>
      <w:spacing w:line="560" w:lineRule="exact"/>
      <w:jc w:val="center"/>
    </w:pPr>
    <w:rPr>
      <w:rFonts w:ascii="仿宋_GB2312" w:hAnsi="仿宋_GB2312" w:cs="仿宋_GB2312"/>
      <w:kern w:val="2"/>
      <w:sz w:val="44"/>
      <w:szCs w:val="32"/>
    </w:rPr>
  </w:style>
  <w:style w:type="paragraph" w:customStyle="1" w:styleId="ac">
    <w:name w:val="法 法释"/>
    <w:qFormat/>
    <w:rsid w:val="00FD364A"/>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rsid w:val="00FD364A"/>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rsid w:val="00FD364A"/>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sid w:val="00FD364A"/>
    <w:rPr>
      <w:rFonts w:eastAsia="黑体"/>
      <w:sz w:val="32"/>
    </w:rPr>
  </w:style>
  <w:style w:type="paragraph" w:styleId="af0">
    <w:name w:val="Note Heading"/>
    <w:basedOn w:val="a"/>
    <w:next w:val="a"/>
    <w:link w:val="af1"/>
    <w:rsid w:val="00C741A3"/>
    <w:pPr>
      <w:jc w:val="center"/>
    </w:pPr>
  </w:style>
  <w:style w:type="character" w:customStyle="1" w:styleId="af1">
    <w:name w:val="注释标题 字符"/>
    <w:basedOn w:val="a0"/>
    <w:link w:val="af0"/>
    <w:rsid w:val="00C741A3"/>
    <w:rPr>
      <w:kern w:val="2"/>
      <w:sz w:val="21"/>
      <w:szCs w:val="24"/>
    </w:rPr>
  </w:style>
  <w:style w:type="paragraph" w:customStyle="1" w:styleId="af2">
    <w:name w:val="法 页码 偶"/>
    <w:qFormat/>
    <w:rsid w:val="00D016BE"/>
    <w:pPr>
      <w:widowControl w:val="0"/>
      <w:spacing w:line="560" w:lineRule="exact"/>
      <w:ind w:rightChars="-180" w:right="-180"/>
      <w:jc w:val="right"/>
    </w:pPr>
    <w:rPr>
      <w:rFonts w:ascii="宋体"/>
      <w:kern w:val="2"/>
      <w:sz w:val="28"/>
      <w:szCs w:val="18"/>
    </w:rPr>
  </w:style>
  <w:style w:type="paragraph" w:customStyle="1" w:styleId="af3">
    <w:name w:val="法 页码 奇"/>
    <w:qFormat/>
    <w:rsid w:val="00D016BE"/>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C3F95-3394-44A3-B055-C2C71F071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527</Words>
  <Characters>3005</Characters>
  <Application>Microsoft Office Word</Application>
  <DocSecurity>0</DocSecurity>
  <Lines>25</Lines>
  <Paragraphs>7</Paragraphs>
  <ScaleCrop>false</ScaleCrop>
  <Company>Lenovo (Beijing) Limited</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36</cp:revision>
  <cp:lastPrinted>2014-04-03T09:04:00Z</cp:lastPrinted>
  <dcterms:created xsi:type="dcterms:W3CDTF">2022-02-10T03:13:00Z</dcterms:created>
  <dcterms:modified xsi:type="dcterms:W3CDTF">2025-08-26T04:14:00Z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979D1D0EDC764DF9973C30605BAD3314</vt:lpwstr>
  </property>
</Properties>
</file>